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Tax-Efficient Prestige Income with Capital Preservation</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Tax-Efficient Prestige Income with Capital Preservation</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modest emphasis on income</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Tax-Efficient Prestige Income with Capital Preservation</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Prestige Income with Capital Preservation</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w:t>
      </w:r>
      <w:r>
        <w:rPr>
          <w:rFonts w:ascii="Arial" w:hAnsi="Arial" w:cs="Arial"/>
          <w:sz w:val="20"/>
          <w:szCs w:val="20"/>
        </w:rPr>
        <w:lastRenderedPageBreak/>
        <w:t>compelling opportunity to increase return and/or reduce risk. The portfolio allocation also serves as a 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Prestige Income with Capital Preservation</w:t>
      </w:r>
      <w:r>
        <w:rPr>
          <w:rFonts w:ascii="Arial" w:hAnsi="Arial" w:cs="Arial"/>
          <w:sz w:val="20"/>
          <w:szCs w:val="20"/>
        </w:rPr>
        <w:t xml:space="preserve"> portfolio allocation is a blend of </w:t>
      </w:r>
      <w:r w:rsidR="009410F3">
        <w:rPr>
          <w:rFonts w:ascii="Arial" w:hAnsi="Arial" w:cs="Arial"/>
          <w:sz w:val="20"/>
          <w:szCs w:val="20"/>
        </w:rPr>
        <w:t>70%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30%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70%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30%</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Tax-Efficient Prestige Income with Capital Preservation</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70%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30%</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50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Tax-Efficient Prestige Income with Capital Preservation</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059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CF2C57"/>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