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Benchmark Income with Moderate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Benchmark Income with Moderate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Benchmark Income with Moderate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Benchmark Income with Moderate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w:t>
      </w:r>
      <w:r>
        <w:rPr>
          <w:rFonts w:ascii="Arial" w:hAnsi="Arial" w:cs="Arial"/>
          <w:sz w:val="20"/>
          <w:szCs w:val="20"/>
        </w:rPr>
        <w:lastRenderedPageBreak/>
        <w:t>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Benchmark Income with Moderate Growth</w:t>
      </w:r>
      <w:r>
        <w:rPr>
          <w:rFonts w:ascii="Arial" w:hAnsi="Arial" w:cs="Arial"/>
          <w:sz w:val="20"/>
          <w:szCs w:val="20"/>
        </w:rPr>
        <w:t xml:space="preserve"> portfolio allocation is a blend of </w:t>
      </w:r>
      <w:r w:rsidR="009410F3">
        <w:rPr>
          <w:rFonts w:ascii="Arial" w:hAnsi="Arial" w:cs="Arial"/>
          <w:sz w:val="20"/>
          <w:szCs w:val="20"/>
        </w:rPr>
        <w:t>60%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40%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32%</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8%</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Benchmark Income with Moderate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32%</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8%</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60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Benchmark Income with Moderate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B695B"/>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BF3706"/>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