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Benchmark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Benchmark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Benchmark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Benchmark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Benchmark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Benchmark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Benchmark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848E5"/>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9D64BF"/>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