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SRI Income with Moderate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SRI Income with Moderate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income</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SRI Income with Moderate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SRI Income with Moderate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SRI Income with Moderate Growth</w:t>
      </w:r>
      <w:r>
        <w:rPr>
          <w:rFonts w:ascii="Arial" w:hAnsi="Arial" w:cs="Arial"/>
          <w:sz w:val="20"/>
          <w:szCs w:val="20"/>
        </w:rPr>
        <w:t xml:space="preserve"> portfolio allocation is a blend of </w:t>
      </w:r>
      <w:r w:rsidR="009410F3">
        <w:rPr>
          <w:rFonts w:ascii="Arial" w:hAnsi="Arial" w:cs="Arial"/>
          <w:sz w:val="20"/>
          <w:szCs w:val="20"/>
        </w:rPr>
        <w:t>60%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40%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32%</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8%</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SRI Income with Moderate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32%</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8%</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60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SRI Income with Moderate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B2A4F"/>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0416B"/>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2016-07-20T23:05:00Z</dcterms:created>
  <dcterms:modified xsi:type="dcterms:W3CDTF">2016-07-20T23:05:00Z</dcterms:modified>
</cp:coreProperties>
</file>